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CD2" w:rsidRDefault="00B90CD2" w:rsidP="001E2F1B">
      <w:pPr>
        <w:spacing w:line="240" w:lineRule="auto"/>
        <w:jc w:val="center"/>
        <w:rPr>
          <w:rFonts w:ascii="Arial" w:hAnsi="Arial" w:cs="Arial"/>
          <w:b/>
          <w:sz w:val="28"/>
          <w:szCs w:val="28"/>
        </w:rPr>
      </w:pPr>
      <w:r>
        <w:rPr>
          <w:rFonts w:ascii="Arial" w:hAnsi="Arial" w:cs="Arial"/>
          <w:b/>
          <w:sz w:val="28"/>
          <w:szCs w:val="28"/>
        </w:rPr>
        <w:t xml:space="preserve">THE DALLES EAST FISH LADDER </w:t>
      </w:r>
    </w:p>
    <w:p w:rsidR="001E2F1B" w:rsidRPr="001E2F1B" w:rsidRDefault="00B90CD2" w:rsidP="001E2F1B">
      <w:pPr>
        <w:spacing w:line="240" w:lineRule="auto"/>
        <w:jc w:val="center"/>
        <w:rPr>
          <w:rFonts w:ascii="Arial" w:hAnsi="Arial" w:cs="Arial"/>
          <w:b/>
          <w:sz w:val="24"/>
          <w:szCs w:val="28"/>
        </w:rPr>
      </w:pPr>
      <w:r>
        <w:rPr>
          <w:rFonts w:ascii="Arial" w:hAnsi="Arial" w:cs="Arial"/>
          <w:b/>
          <w:sz w:val="28"/>
          <w:szCs w:val="28"/>
        </w:rPr>
        <w:t>EMERGENCY AUXILIARY WATER SUPPLY</w:t>
      </w:r>
      <w:r w:rsidR="007C6093" w:rsidRPr="001E2F1B">
        <w:rPr>
          <w:rFonts w:ascii="Arial" w:hAnsi="Arial" w:cs="Arial"/>
          <w:b/>
          <w:sz w:val="28"/>
          <w:szCs w:val="28"/>
        </w:rPr>
        <w:t xml:space="preserve"> PROJECT</w:t>
      </w:r>
      <w:r w:rsidR="001E2F1B">
        <w:rPr>
          <w:rFonts w:ascii="Arial" w:hAnsi="Arial" w:cs="Arial"/>
          <w:b/>
          <w:sz w:val="24"/>
          <w:szCs w:val="28"/>
        </w:rPr>
        <w:br/>
      </w:r>
    </w:p>
    <w:p w:rsidR="00AB43DD" w:rsidRPr="001E2F1B" w:rsidRDefault="00AB43DD" w:rsidP="00423E4E">
      <w:pPr>
        <w:pStyle w:val="ListParagraph"/>
        <w:numPr>
          <w:ilvl w:val="0"/>
          <w:numId w:val="7"/>
        </w:numPr>
        <w:spacing w:line="240" w:lineRule="auto"/>
        <w:ind w:left="360"/>
        <w:rPr>
          <w:rFonts w:ascii="Arial" w:hAnsi="Arial" w:cs="Arial"/>
          <w:b/>
          <w:sz w:val="24"/>
          <w:szCs w:val="24"/>
        </w:rPr>
      </w:pPr>
      <w:r w:rsidRPr="001E2F1B">
        <w:rPr>
          <w:rFonts w:ascii="Arial" w:hAnsi="Arial" w:cs="Arial"/>
          <w:b/>
          <w:sz w:val="24"/>
          <w:szCs w:val="24"/>
        </w:rPr>
        <w:t>PROJECT INFORMATION</w:t>
      </w:r>
    </w:p>
    <w:tbl>
      <w:tblPr>
        <w:tblStyle w:val="TableGrid"/>
        <w:tblW w:w="0" w:type="auto"/>
        <w:tblLook w:val="04A0" w:firstRow="1" w:lastRow="0" w:firstColumn="1" w:lastColumn="0" w:noHBand="0" w:noVBand="1"/>
      </w:tblPr>
      <w:tblGrid>
        <w:gridCol w:w="2695"/>
        <w:gridCol w:w="6655"/>
      </w:tblGrid>
      <w:tr w:rsidR="00AB43DD" w:rsidRPr="001E2F1B" w:rsidTr="007C6093">
        <w:trPr>
          <w:trHeight w:val="432"/>
        </w:trPr>
        <w:tc>
          <w:tcPr>
            <w:tcW w:w="2695" w:type="dxa"/>
            <w:vAlign w:val="center"/>
          </w:tcPr>
          <w:p w:rsidR="00AB43DD" w:rsidRPr="009C3B33" w:rsidRDefault="007C6093" w:rsidP="00423E4E">
            <w:pPr>
              <w:rPr>
                <w:rFonts w:ascii="Arial" w:hAnsi="Arial" w:cs="Arial"/>
                <w:b/>
                <w:szCs w:val="24"/>
              </w:rPr>
            </w:pPr>
            <w:r w:rsidRPr="009C3B33">
              <w:rPr>
                <w:rFonts w:ascii="Arial" w:hAnsi="Arial" w:cs="Arial"/>
                <w:b/>
                <w:szCs w:val="24"/>
              </w:rPr>
              <w:t>P2 Identifier</w:t>
            </w:r>
          </w:p>
        </w:tc>
        <w:tc>
          <w:tcPr>
            <w:tcW w:w="6655" w:type="dxa"/>
            <w:vAlign w:val="center"/>
          </w:tcPr>
          <w:p w:rsidR="00AB43DD" w:rsidRPr="009C3B33" w:rsidRDefault="00B90CD2" w:rsidP="00423E4E">
            <w:pPr>
              <w:rPr>
                <w:rFonts w:ascii="Arial" w:hAnsi="Arial" w:cs="Arial"/>
                <w:szCs w:val="24"/>
              </w:rPr>
            </w:pPr>
            <w:r>
              <w:rPr>
                <w:rFonts w:ascii="Arial" w:hAnsi="Arial" w:cs="Arial"/>
                <w:szCs w:val="24"/>
              </w:rPr>
              <w:t>142630</w:t>
            </w:r>
          </w:p>
        </w:tc>
      </w:tr>
      <w:tr w:rsidR="00AB43DD" w:rsidRPr="001E2F1B" w:rsidTr="007C6093">
        <w:trPr>
          <w:trHeight w:val="432"/>
        </w:trPr>
        <w:tc>
          <w:tcPr>
            <w:tcW w:w="2695" w:type="dxa"/>
            <w:vAlign w:val="center"/>
          </w:tcPr>
          <w:p w:rsidR="00AB43DD" w:rsidRPr="009C3B33" w:rsidRDefault="00AB43DD" w:rsidP="00423E4E">
            <w:pPr>
              <w:rPr>
                <w:rFonts w:ascii="Arial" w:hAnsi="Arial" w:cs="Arial"/>
                <w:b/>
                <w:szCs w:val="24"/>
              </w:rPr>
            </w:pPr>
            <w:r w:rsidRPr="009C3B33">
              <w:rPr>
                <w:rFonts w:ascii="Arial" w:hAnsi="Arial" w:cs="Arial"/>
                <w:b/>
                <w:szCs w:val="24"/>
              </w:rPr>
              <w:t>Project Manager (PM)</w:t>
            </w:r>
          </w:p>
        </w:tc>
        <w:tc>
          <w:tcPr>
            <w:tcW w:w="6655" w:type="dxa"/>
            <w:vAlign w:val="center"/>
          </w:tcPr>
          <w:p w:rsidR="00AB43DD" w:rsidRPr="009C3B33" w:rsidRDefault="001A1126" w:rsidP="00423E4E">
            <w:pPr>
              <w:rPr>
                <w:rFonts w:ascii="Arial" w:hAnsi="Arial" w:cs="Arial"/>
                <w:szCs w:val="24"/>
              </w:rPr>
            </w:pPr>
            <w:r w:rsidRPr="009C3B33">
              <w:rPr>
                <w:rFonts w:ascii="Arial" w:hAnsi="Arial" w:cs="Arial"/>
                <w:szCs w:val="24"/>
              </w:rPr>
              <w:t>Mike Turaski</w:t>
            </w:r>
            <w:r w:rsidR="00867EFA" w:rsidRPr="009C3B33">
              <w:rPr>
                <w:rFonts w:ascii="Arial" w:hAnsi="Arial" w:cs="Arial"/>
                <w:szCs w:val="24"/>
              </w:rPr>
              <w:t xml:space="preserve">  (NWP, 503-808-47</w:t>
            </w:r>
            <w:r w:rsidRPr="009C3B33">
              <w:rPr>
                <w:rFonts w:ascii="Arial" w:hAnsi="Arial" w:cs="Arial"/>
                <w:szCs w:val="24"/>
              </w:rPr>
              <w:t>04</w:t>
            </w:r>
            <w:r w:rsidR="00446100" w:rsidRPr="009C3B33">
              <w:rPr>
                <w:rFonts w:ascii="Arial" w:hAnsi="Arial" w:cs="Arial"/>
                <w:szCs w:val="24"/>
              </w:rPr>
              <w:t>)</w:t>
            </w:r>
          </w:p>
        </w:tc>
      </w:tr>
      <w:tr w:rsidR="00AB43DD" w:rsidRPr="001E2F1B" w:rsidTr="007C6093">
        <w:trPr>
          <w:trHeight w:val="432"/>
        </w:trPr>
        <w:tc>
          <w:tcPr>
            <w:tcW w:w="2695" w:type="dxa"/>
            <w:vAlign w:val="center"/>
          </w:tcPr>
          <w:p w:rsidR="00AB43DD" w:rsidRPr="009C3B33" w:rsidRDefault="00AB43DD" w:rsidP="00423E4E">
            <w:pPr>
              <w:rPr>
                <w:rFonts w:ascii="Arial" w:hAnsi="Arial" w:cs="Arial"/>
                <w:b/>
                <w:szCs w:val="24"/>
              </w:rPr>
            </w:pPr>
            <w:r w:rsidRPr="009C3B33">
              <w:rPr>
                <w:rFonts w:ascii="Arial" w:hAnsi="Arial" w:cs="Arial"/>
                <w:b/>
                <w:szCs w:val="24"/>
              </w:rPr>
              <w:t>Technical Lead (TL)</w:t>
            </w:r>
          </w:p>
        </w:tc>
        <w:tc>
          <w:tcPr>
            <w:tcW w:w="6655" w:type="dxa"/>
            <w:vAlign w:val="center"/>
          </w:tcPr>
          <w:p w:rsidR="00AB43DD" w:rsidRPr="009C3B33" w:rsidRDefault="00B90CD2" w:rsidP="009E09EC">
            <w:pPr>
              <w:rPr>
                <w:rFonts w:ascii="Arial" w:hAnsi="Arial" w:cs="Arial"/>
                <w:szCs w:val="24"/>
              </w:rPr>
            </w:pPr>
            <w:r>
              <w:rPr>
                <w:rFonts w:ascii="Arial" w:hAnsi="Arial" w:cs="Arial"/>
                <w:szCs w:val="24"/>
              </w:rPr>
              <w:t>Mehdi Roshani</w:t>
            </w:r>
            <w:r w:rsidR="00867EFA" w:rsidRPr="009C3B33">
              <w:rPr>
                <w:rFonts w:ascii="Arial" w:hAnsi="Arial" w:cs="Arial"/>
                <w:szCs w:val="24"/>
              </w:rPr>
              <w:t xml:space="preserve"> (NWP</w:t>
            </w:r>
            <w:r w:rsidR="00643AD3" w:rsidRPr="009C3B33">
              <w:rPr>
                <w:rFonts w:ascii="Arial" w:hAnsi="Arial" w:cs="Arial"/>
                <w:szCs w:val="24"/>
              </w:rPr>
              <w:t>,</w:t>
            </w:r>
            <w:r w:rsidR="00867EFA" w:rsidRPr="009C3B33">
              <w:rPr>
                <w:rFonts w:ascii="Arial" w:hAnsi="Arial" w:cs="Arial"/>
                <w:szCs w:val="24"/>
              </w:rPr>
              <w:t xml:space="preserve"> 503-808-49</w:t>
            </w:r>
            <w:r w:rsidR="00023192">
              <w:rPr>
                <w:rFonts w:ascii="Arial" w:hAnsi="Arial" w:cs="Arial"/>
                <w:szCs w:val="24"/>
              </w:rPr>
              <w:t>8</w:t>
            </w:r>
            <w:r w:rsidR="009E09EC">
              <w:rPr>
                <w:rFonts w:ascii="Arial" w:hAnsi="Arial" w:cs="Arial"/>
                <w:szCs w:val="24"/>
              </w:rPr>
              <w:t>8</w:t>
            </w:r>
            <w:r w:rsidR="0014611E" w:rsidRPr="009C3B33">
              <w:rPr>
                <w:rFonts w:ascii="Arial" w:hAnsi="Arial" w:cs="Arial"/>
                <w:szCs w:val="24"/>
              </w:rPr>
              <w:t>)</w:t>
            </w:r>
          </w:p>
        </w:tc>
      </w:tr>
      <w:tr w:rsidR="00AB43DD" w:rsidRPr="001E2F1B" w:rsidTr="007C6093">
        <w:trPr>
          <w:trHeight w:val="432"/>
        </w:trPr>
        <w:tc>
          <w:tcPr>
            <w:tcW w:w="2695" w:type="dxa"/>
            <w:vAlign w:val="center"/>
          </w:tcPr>
          <w:p w:rsidR="00AB43DD" w:rsidRPr="009C3B33" w:rsidRDefault="00AB43DD" w:rsidP="00423E4E">
            <w:pPr>
              <w:rPr>
                <w:rFonts w:ascii="Arial" w:hAnsi="Arial" w:cs="Arial"/>
                <w:b/>
                <w:szCs w:val="24"/>
              </w:rPr>
            </w:pPr>
            <w:r w:rsidRPr="009C3B33">
              <w:rPr>
                <w:rFonts w:ascii="Arial" w:hAnsi="Arial" w:cs="Arial"/>
                <w:b/>
                <w:szCs w:val="24"/>
              </w:rPr>
              <w:t>Biologist</w:t>
            </w:r>
            <w:r w:rsidR="00446100" w:rsidRPr="009C3B33">
              <w:rPr>
                <w:rFonts w:ascii="Arial" w:hAnsi="Arial" w:cs="Arial"/>
                <w:b/>
                <w:szCs w:val="24"/>
              </w:rPr>
              <w:t>/Coordination</w:t>
            </w:r>
          </w:p>
        </w:tc>
        <w:tc>
          <w:tcPr>
            <w:tcW w:w="6655" w:type="dxa"/>
            <w:vAlign w:val="center"/>
          </w:tcPr>
          <w:p w:rsidR="00AB43DD" w:rsidRPr="009C3B33" w:rsidRDefault="00B90CD2" w:rsidP="009E09EC">
            <w:pPr>
              <w:rPr>
                <w:rFonts w:ascii="Arial" w:hAnsi="Arial" w:cs="Arial"/>
                <w:szCs w:val="24"/>
              </w:rPr>
            </w:pPr>
            <w:r>
              <w:rPr>
                <w:rFonts w:ascii="Arial" w:hAnsi="Arial" w:cs="Arial"/>
                <w:szCs w:val="24"/>
              </w:rPr>
              <w:t>Jon Rerecich</w:t>
            </w:r>
            <w:r w:rsidR="00446100" w:rsidRPr="009C3B33">
              <w:rPr>
                <w:rFonts w:ascii="Arial" w:hAnsi="Arial" w:cs="Arial"/>
                <w:szCs w:val="24"/>
              </w:rPr>
              <w:t xml:space="preserve"> (</w:t>
            </w:r>
            <w:r w:rsidR="00867EFA" w:rsidRPr="009C3B33">
              <w:rPr>
                <w:rFonts w:ascii="Arial" w:hAnsi="Arial" w:cs="Arial"/>
                <w:szCs w:val="24"/>
              </w:rPr>
              <w:t>NWP, 503-808-47</w:t>
            </w:r>
            <w:r w:rsidR="009E09EC">
              <w:rPr>
                <w:rFonts w:ascii="Arial" w:hAnsi="Arial" w:cs="Arial"/>
                <w:szCs w:val="24"/>
              </w:rPr>
              <w:t>7</w:t>
            </w:r>
            <w:r w:rsidR="0014611E" w:rsidRPr="009C3B33">
              <w:rPr>
                <w:rFonts w:ascii="Arial" w:hAnsi="Arial" w:cs="Arial"/>
                <w:szCs w:val="24"/>
              </w:rPr>
              <w:t>9</w:t>
            </w:r>
            <w:r w:rsidR="00446100" w:rsidRPr="009C3B33">
              <w:rPr>
                <w:rFonts w:ascii="Arial" w:hAnsi="Arial" w:cs="Arial"/>
                <w:szCs w:val="24"/>
              </w:rPr>
              <w:t>)</w:t>
            </w:r>
          </w:p>
        </w:tc>
      </w:tr>
    </w:tbl>
    <w:p w:rsidR="007C6093" w:rsidRPr="001E2F1B" w:rsidRDefault="007C6093" w:rsidP="00423E4E">
      <w:pPr>
        <w:spacing w:line="240" w:lineRule="auto"/>
        <w:rPr>
          <w:rFonts w:ascii="Arial" w:hAnsi="Arial" w:cs="Arial"/>
          <w:sz w:val="24"/>
          <w:szCs w:val="24"/>
        </w:rPr>
      </w:pPr>
    </w:p>
    <w:p w:rsidR="00446100" w:rsidRPr="001E2F1B" w:rsidRDefault="00643AD3" w:rsidP="00423E4E">
      <w:pPr>
        <w:pStyle w:val="ListParagraph"/>
        <w:numPr>
          <w:ilvl w:val="0"/>
          <w:numId w:val="7"/>
        </w:numPr>
        <w:spacing w:line="240" w:lineRule="auto"/>
        <w:ind w:left="360"/>
        <w:rPr>
          <w:rFonts w:ascii="Arial" w:hAnsi="Arial" w:cs="Arial"/>
          <w:b/>
          <w:sz w:val="24"/>
          <w:szCs w:val="24"/>
        </w:rPr>
      </w:pPr>
      <w:r w:rsidRPr="001E2F1B">
        <w:rPr>
          <w:rFonts w:ascii="Arial" w:hAnsi="Arial" w:cs="Arial"/>
          <w:b/>
          <w:sz w:val="24"/>
          <w:szCs w:val="24"/>
        </w:rPr>
        <w:t>PURPOSE</w:t>
      </w:r>
    </w:p>
    <w:p w:rsidR="00643AD3" w:rsidRDefault="009E09EC" w:rsidP="009E09EC">
      <w:pPr>
        <w:pStyle w:val="Default"/>
        <w:rPr>
          <w:sz w:val="22"/>
          <w:szCs w:val="22"/>
        </w:rPr>
      </w:pPr>
      <w:r w:rsidRPr="009E09EC">
        <w:rPr>
          <w:sz w:val="22"/>
          <w:szCs w:val="22"/>
        </w:rPr>
        <w:t>The Dalles Dam Emergency AWS Project is a sub-element of the Columbia River Fish Mitigation (CRFM) program and is designed to provide emergency water supply to meet minimal</w:t>
      </w:r>
      <w:r>
        <w:rPr>
          <w:sz w:val="22"/>
          <w:szCs w:val="22"/>
        </w:rPr>
        <w:t>l</w:t>
      </w:r>
      <w:r w:rsidRPr="009E09EC">
        <w:rPr>
          <w:sz w:val="22"/>
          <w:szCs w:val="22"/>
        </w:rPr>
        <w:t>y adequate fish passage requirements at the East Fish Ladder (EFL).</w:t>
      </w:r>
    </w:p>
    <w:p w:rsidR="009E09EC" w:rsidRPr="001E2F1B" w:rsidRDefault="009E09EC" w:rsidP="009E09EC">
      <w:pPr>
        <w:pStyle w:val="Default"/>
        <w:rPr>
          <w:color w:val="auto"/>
        </w:rPr>
      </w:pPr>
    </w:p>
    <w:p w:rsidR="00643AD3" w:rsidRPr="001E2F1B" w:rsidRDefault="00643AD3" w:rsidP="00423E4E">
      <w:pPr>
        <w:pStyle w:val="Default"/>
        <w:numPr>
          <w:ilvl w:val="0"/>
          <w:numId w:val="7"/>
        </w:numPr>
        <w:ind w:left="360"/>
        <w:rPr>
          <w:b/>
        </w:rPr>
      </w:pPr>
      <w:r w:rsidRPr="001E2F1B">
        <w:rPr>
          <w:b/>
        </w:rPr>
        <w:t>BACKGROUND</w:t>
      </w:r>
    </w:p>
    <w:p w:rsidR="00643AD3" w:rsidRPr="001E2F1B" w:rsidRDefault="00643AD3" w:rsidP="00423E4E">
      <w:pPr>
        <w:pStyle w:val="Default"/>
        <w:rPr>
          <w:b/>
        </w:rPr>
      </w:pPr>
    </w:p>
    <w:p w:rsidR="00023192" w:rsidRPr="009E09EC" w:rsidRDefault="009E09EC" w:rsidP="009E09EC">
      <w:pPr>
        <w:pStyle w:val="Default"/>
        <w:rPr>
          <w:color w:val="auto"/>
          <w:sz w:val="22"/>
          <w:szCs w:val="22"/>
        </w:rPr>
      </w:pPr>
      <w:r w:rsidRPr="009E09EC">
        <w:rPr>
          <w:sz w:val="22"/>
          <w:szCs w:val="22"/>
        </w:rPr>
        <w:t xml:space="preserve">The EFL as currently operated passes ~90% of all returning adult fish. Water in the existing AWS conduit is currently supplied by the two fish unit turbines with no redundancy should those turbines fail. Risk to the EFL water supply is further elevated given that the addition of the Spillwall at The Dalles Dam, coupled with spillway discharge of greater than ~100kcfs, greatly reduces fish passage at the North Fish Ladder. Without a backup system, the region would need to make a choice </w:t>
      </w:r>
      <w:r w:rsidRPr="009E09EC">
        <w:rPr>
          <w:color w:val="auto"/>
          <w:sz w:val="22"/>
          <w:szCs w:val="22"/>
        </w:rPr>
        <w:t>between safe and efficient juvenile downstream passage and returning adult upstream passage.</w:t>
      </w:r>
    </w:p>
    <w:p w:rsidR="009E09EC" w:rsidRDefault="009E09EC" w:rsidP="009E09EC">
      <w:pPr>
        <w:pStyle w:val="Default"/>
        <w:rPr>
          <w:color w:val="auto"/>
          <w:sz w:val="22"/>
        </w:rPr>
      </w:pPr>
    </w:p>
    <w:p w:rsidR="00925D19" w:rsidRPr="000C51CE" w:rsidRDefault="000C51CE" w:rsidP="000C51CE">
      <w:pPr>
        <w:autoSpaceDE w:val="0"/>
        <w:autoSpaceDN w:val="0"/>
        <w:adjustRightInd w:val="0"/>
        <w:spacing w:after="0" w:line="240" w:lineRule="auto"/>
        <w:rPr>
          <w:rFonts w:ascii="Arial" w:hAnsi="Arial" w:cs="Arial"/>
        </w:rPr>
      </w:pPr>
      <w:r w:rsidRPr="000C51CE">
        <w:rPr>
          <w:rFonts w:ascii="Arial" w:hAnsi="Arial" w:cs="Arial"/>
        </w:rPr>
        <w:t xml:space="preserve">This project was first studied in 1991 by the Hydroelectric Design Center. It was first addressed in </w:t>
      </w:r>
      <w:proofErr w:type="spellStart"/>
      <w:r w:rsidRPr="000C51CE">
        <w:rPr>
          <w:rFonts w:ascii="Arial" w:hAnsi="Arial" w:cs="Arial"/>
        </w:rPr>
        <w:t>theNational</w:t>
      </w:r>
      <w:proofErr w:type="spellEnd"/>
      <w:r w:rsidRPr="000C51CE">
        <w:rPr>
          <w:rFonts w:ascii="Arial" w:hAnsi="Arial" w:cs="Arial"/>
        </w:rPr>
        <w:t xml:space="preserve"> Marine Fisheries Service (NMFS) Biological Opinion (BiOp) in 1995, and again in the 2008 BiOp</w:t>
      </w:r>
      <w:r>
        <w:rPr>
          <w:rFonts w:ascii="Arial" w:hAnsi="Arial" w:cs="Arial"/>
        </w:rPr>
        <w:t xml:space="preserve"> </w:t>
      </w:r>
      <w:r w:rsidRPr="000C51CE">
        <w:rPr>
          <w:rFonts w:ascii="Arial" w:hAnsi="Arial" w:cs="Arial"/>
        </w:rPr>
        <w:t>under Reasonable and Prudent Alternative (RPA) 28.2. Through collaboratively working with our Federal and Regional partners, the District developed an alternative that (1) reduced the flow requirement by only operating one of the three entrances, (2) removed the requirement to screen the intake, and (3) designed a route through the dam that minimized impacts and energy dissipation. A Design Documentation Report (DDR) completed April 2014 developed an alternative that meets regional goals. The alternative developed in the DDR provides a flow of 1,400 cubic feet per second (</w:t>
      </w:r>
      <w:proofErr w:type="spellStart"/>
      <w:r w:rsidRPr="000C51CE">
        <w:rPr>
          <w:rFonts w:ascii="Arial" w:hAnsi="Arial" w:cs="Arial"/>
        </w:rPr>
        <w:t>cfs</w:t>
      </w:r>
      <w:proofErr w:type="spellEnd"/>
      <w:r w:rsidRPr="000C51CE">
        <w:rPr>
          <w:rFonts w:ascii="Arial" w:hAnsi="Arial" w:cs="Arial"/>
        </w:rPr>
        <w:t>), the minimum flow (under an emergency situation) the region has determined is required to keep the main east entrance operational and within acceptable passage criteria. This temporary emergency operating condition will require two of the three main entrances to be closed off, however will allow for continued safe fish passage of the preferred east entrance (which is used by approximately 80% of the returning adults that use of the East Fish Ladder).</w:t>
      </w:r>
    </w:p>
    <w:p w:rsidR="000C51CE" w:rsidRDefault="000C51CE" w:rsidP="000C51CE">
      <w:pPr>
        <w:pStyle w:val="Default"/>
        <w:rPr>
          <w:rFonts w:ascii="Calibri" w:hAnsi="Calibri" w:cs="Calibri"/>
        </w:rPr>
      </w:pPr>
    </w:p>
    <w:p w:rsidR="003B0929" w:rsidRPr="001E2F1B" w:rsidRDefault="003B0929" w:rsidP="00423E4E">
      <w:pPr>
        <w:pStyle w:val="ListParagraph"/>
        <w:numPr>
          <w:ilvl w:val="0"/>
          <w:numId w:val="7"/>
        </w:numPr>
        <w:spacing w:line="240" w:lineRule="auto"/>
        <w:ind w:left="360"/>
        <w:rPr>
          <w:rFonts w:ascii="Arial" w:hAnsi="Arial" w:cs="Arial"/>
          <w:b/>
          <w:sz w:val="24"/>
          <w:szCs w:val="24"/>
        </w:rPr>
      </w:pPr>
      <w:r w:rsidRPr="001E2F1B">
        <w:rPr>
          <w:rFonts w:ascii="Arial" w:hAnsi="Arial" w:cs="Arial"/>
          <w:b/>
          <w:sz w:val="24"/>
          <w:szCs w:val="24"/>
        </w:rPr>
        <w:t xml:space="preserve">STATUS </w:t>
      </w:r>
      <w:r w:rsidR="00F54234" w:rsidRPr="001E2F1B">
        <w:rPr>
          <w:rFonts w:ascii="Arial" w:hAnsi="Arial" w:cs="Arial"/>
          <w:b/>
          <w:sz w:val="24"/>
          <w:szCs w:val="24"/>
        </w:rPr>
        <w:t>&amp;</w:t>
      </w:r>
      <w:r w:rsidRPr="001E2F1B">
        <w:rPr>
          <w:rFonts w:ascii="Arial" w:hAnsi="Arial" w:cs="Arial"/>
          <w:b/>
          <w:sz w:val="24"/>
          <w:szCs w:val="24"/>
        </w:rPr>
        <w:t xml:space="preserve"> ISSUES</w:t>
      </w:r>
    </w:p>
    <w:p w:rsidR="000C51CE" w:rsidRPr="000C51CE" w:rsidRDefault="000C51CE" w:rsidP="001E2F1B">
      <w:pPr>
        <w:pStyle w:val="ListParagraph"/>
        <w:numPr>
          <w:ilvl w:val="0"/>
          <w:numId w:val="4"/>
        </w:numPr>
        <w:spacing w:line="240" w:lineRule="auto"/>
        <w:ind w:left="360"/>
        <w:rPr>
          <w:rFonts w:ascii="Arial" w:hAnsi="Arial" w:cs="Arial"/>
          <w:b/>
          <w:szCs w:val="24"/>
        </w:rPr>
      </w:pPr>
      <w:r>
        <w:rPr>
          <w:rFonts w:ascii="Arial" w:hAnsi="Arial" w:cs="Arial"/>
          <w:szCs w:val="24"/>
        </w:rPr>
        <w:t xml:space="preserve">The construction contract was awarded in FY16, after a delay due to a bidder protest. </w:t>
      </w:r>
    </w:p>
    <w:p w:rsidR="00F9344D" w:rsidRPr="000C51CE" w:rsidRDefault="000C51CE" w:rsidP="001E2F1B">
      <w:pPr>
        <w:pStyle w:val="ListParagraph"/>
        <w:numPr>
          <w:ilvl w:val="0"/>
          <w:numId w:val="4"/>
        </w:numPr>
        <w:spacing w:line="240" w:lineRule="auto"/>
        <w:ind w:left="360"/>
        <w:rPr>
          <w:rFonts w:ascii="Arial" w:hAnsi="Arial" w:cs="Arial"/>
          <w:b/>
          <w:szCs w:val="24"/>
        </w:rPr>
      </w:pPr>
      <w:r>
        <w:rPr>
          <w:rFonts w:ascii="Arial" w:hAnsi="Arial" w:cs="Arial"/>
          <w:szCs w:val="24"/>
        </w:rPr>
        <w:lastRenderedPageBreak/>
        <w:t>Much of the construction activity is within, over, or in close proximity to the East Fish Ladder. As such, several key construction activities can only occur during the winter in-water work period (or during approved extensions at the beginning or end of the in-water work period).  The project is anticipated to require two construction seasons, with construction complete in April 2018.</w:t>
      </w:r>
    </w:p>
    <w:p w:rsidR="000C51CE" w:rsidRPr="003A2C8B" w:rsidRDefault="000C51CE" w:rsidP="001E2F1B">
      <w:pPr>
        <w:pStyle w:val="ListParagraph"/>
        <w:numPr>
          <w:ilvl w:val="0"/>
          <w:numId w:val="4"/>
        </w:numPr>
        <w:spacing w:line="240" w:lineRule="auto"/>
        <w:ind w:left="360"/>
        <w:rPr>
          <w:rFonts w:ascii="Arial" w:hAnsi="Arial" w:cs="Arial"/>
          <w:b/>
          <w:szCs w:val="24"/>
        </w:rPr>
      </w:pPr>
      <w:r>
        <w:rPr>
          <w:rFonts w:ascii="Arial" w:hAnsi="Arial" w:cs="Arial"/>
          <w:szCs w:val="24"/>
        </w:rPr>
        <w:t>During the first construction season (2016-17), the contract experienced differing site conditions, weather delays, and design changes, all of which resu</w:t>
      </w:r>
      <w:r w:rsidR="0037073E">
        <w:rPr>
          <w:rFonts w:ascii="Arial" w:hAnsi="Arial" w:cs="Arial"/>
          <w:szCs w:val="24"/>
        </w:rPr>
        <w:t>lted in contract modifications that are projected to cost approximately</w:t>
      </w:r>
      <w:r w:rsidR="003A2C8B">
        <w:rPr>
          <w:rFonts w:ascii="Arial" w:hAnsi="Arial" w:cs="Arial"/>
          <w:szCs w:val="24"/>
        </w:rPr>
        <w:t xml:space="preserve"> $5M in FY17.  S&amp;A and Project Support costs also increased in FY17.</w:t>
      </w:r>
    </w:p>
    <w:p w:rsidR="003A2C8B" w:rsidRPr="002C2960" w:rsidRDefault="002C2960" w:rsidP="001E2F1B">
      <w:pPr>
        <w:pStyle w:val="ListParagraph"/>
        <w:numPr>
          <w:ilvl w:val="0"/>
          <w:numId w:val="4"/>
        </w:numPr>
        <w:spacing w:line="240" w:lineRule="auto"/>
        <w:ind w:left="360"/>
        <w:rPr>
          <w:rFonts w:ascii="Arial" w:hAnsi="Arial" w:cs="Arial"/>
          <w:szCs w:val="24"/>
        </w:rPr>
      </w:pPr>
      <w:r w:rsidRPr="002C2960">
        <w:rPr>
          <w:rFonts w:ascii="Arial" w:hAnsi="Arial" w:cs="Arial"/>
          <w:szCs w:val="24"/>
        </w:rPr>
        <w:t>Certain construction activities that were originally scheduled for Season1 were shifted to the second season. Completing construction within the second in-water work period will be challenging.</w:t>
      </w:r>
    </w:p>
    <w:p w:rsidR="001E2F1B" w:rsidRPr="001E2F1B" w:rsidRDefault="001E2F1B" w:rsidP="00423E4E">
      <w:pPr>
        <w:pStyle w:val="Default"/>
        <w:rPr>
          <w:color w:val="auto"/>
        </w:rPr>
      </w:pPr>
    </w:p>
    <w:p w:rsidR="003B0929" w:rsidRPr="001E2F1B" w:rsidRDefault="009C3B33" w:rsidP="00423E4E">
      <w:pPr>
        <w:pStyle w:val="Default"/>
        <w:numPr>
          <w:ilvl w:val="0"/>
          <w:numId w:val="7"/>
        </w:numPr>
        <w:ind w:left="360"/>
        <w:rPr>
          <w:b/>
          <w:color w:val="auto"/>
        </w:rPr>
      </w:pPr>
      <w:r>
        <w:rPr>
          <w:b/>
          <w:color w:val="auto"/>
        </w:rPr>
        <w:t>SCHEDULE &amp; COST</w:t>
      </w:r>
    </w:p>
    <w:p w:rsidR="003B0929" w:rsidRPr="001E2F1B" w:rsidRDefault="003B0929" w:rsidP="00423E4E">
      <w:pPr>
        <w:pStyle w:val="Default"/>
        <w:rPr>
          <w:b/>
          <w:color w:val="auto"/>
        </w:rPr>
      </w:pPr>
    </w:p>
    <w:tbl>
      <w:tblPr>
        <w:tblStyle w:val="TableGrid"/>
        <w:tblW w:w="0" w:type="auto"/>
        <w:tblLook w:val="04A0" w:firstRow="1" w:lastRow="0" w:firstColumn="1" w:lastColumn="0" w:noHBand="0" w:noVBand="1"/>
      </w:tblPr>
      <w:tblGrid>
        <w:gridCol w:w="1659"/>
        <w:gridCol w:w="1349"/>
        <w:gridCol w:w="6342"/>
      </w:tblGrid>
      <w:tr w:rsidR="00A37DA4" w:rsidRPr="001E2F1B" w:rsidTr="00832F67">
        <w:tc>
          <w:tcPr>
            <w:tcW w:w="1659" w:type="dxa"/>
          </w:tcPr>
          <w:p w:rsidR="00A37DA4" w:rsidRPr="001E2F1B" w:rsidRDefault="001E2F1B" w:rsidP="00423E4E">
            <w:pPr>
              <w:pStyle w:val="Default"/>
              <w:rPr>
                <w:b/>
                <w:color w:val="auto"/>
              </w:rPr>
            </w:pPr>
            <w:r>
              <w:rPr>
                <w:b/>
                <w:color w:val="auto"/>
              </w:rPr>
              <w:t>YEAR</w:t>
            </w:r>
          </w:p>
        </w:tc>
        <w:tc>
          <w:tcPr>
            <w:tcW w:w="1349" w:type="dxa"/>
          </w:tcPr>
          <w:p w:rsidR="00A37DA4" w:rsidRPr="001E2F1B" w:rsidRDefault="001E2F1B" w:rsidP="00423E4E">
            <w:pPr>
              <w:pStyle w:val="Default"/>
              <w:rPr>
                <w:b/>
                <w:color w:val="auto"/>
              </w:rPr>
            </w:pPr>
            <w:r>
              <w:rPr>
                <w:b/>
                <w:color w:val="auto"/>
              </w:rPr>
              <w:t>COST</w:t>
            </w:r>
          </w:p>
        </w:tc>
        <w:tc>
          <w:tcPr>
            <w:tcW w:w="6342" w:type="dxa"/>
          </w:tcPr>
          <w:p w:rsidR="00A37DA4" w:rsidRPr="001E2F1B" w:rsidRDefault="001E2F1B" w:rsidP="00423E4E">
            <w:pPr>
              <w:pStyle w:val="Default"/>
              <w:rPr>
                <w:b/>
                <w:color w:val="auto"/>
              </w:rPr>
            </w:pPr>
            <w:r>
              <w:rPr>
                <w:b/>
                <w:color w:val="auto"/>
              </w:rPr>
              <w:t>MAJOR ACTIVITIES</w:t>
            </w:r>
          </w:p>
        </w:tc>
      </w:tr>
      <w:tr w:rsidR="00832F67" w:rsidRPr="001E2F1B" w:rsidTr="00832F67">
        <w:tc>
          <w:tcPr>
            <w:tcW w:w="1659" w:type="dxa"/>
            <w:vAlign w:val="center"/>
          </w:tcPr>
          <w:p w:rsidR="00832F67" w:rsidRPr="001E2F1B" w:rsidRDefault="00DC4C2A" w:rsidP="001E2F1B">
            <w:pPr>
              <w:pStyle w:val="Default"/>
              <w:rPr>
                <w:b/>
                <w:color w:val="auto"/>
                <w:sz w:val="22"/>
              </w:rPr>
            </w:pPr>
            <w:r>
              <w:rPr>
                <w:b/>
                <w:color w:val="auto"/>
                <w:sz w:val="22"/>
              </w:rPr>
              <w:t>FY17</w:t>
            </w:r>
            <w:r>
              <w:rPr>
                <w:b/>
                <w:color w:val="auto"/>
                <w:sz w:val="22"/>
              </w:rPr>
              <w:br/>
              <w:t>Actual Obligation</w:t>
            </w:r>
          </w:p>
        </w:tc>
        <w:tc>
          <w:tcPr>
            <w:tcW w:w="1349" w:type="dxa"/>
          </w:tcPr>
          <w:p w:rsidR="00832F67" w:rsidRPr="001E2F1B" w:rsidRDefault="008F0D74" w:rsidP="00F9344D">
            <w:pPr>
              <w:pStyle w:val="Default"/>
              <w:rPr>
                <w:color w:val="auto"/>
                <w:sz w:val="22"/>
              </w:rPr>
            </w:pPr>
            <w:r>
              <w:rPr>
                <w:color w:val="auto"/>
                <w:sz w:val="22"/>
              </w:rPr>
              <w:t>$6,604,749</w:t>
            </w:r>
          </w:p>
        </w:tc>
        <w:tc>
          <w:tcPr>
            <w:tcW w:w="6342" w:type="dxa"/>
          </w:tcPr>
          <w:p w:rsidR="00832F67" w:rsidRPr="001E2F1B" w:rsidRDefault="002C2960" w:rsidP="002C2960">
            <w:pPr>
              <w:pStyle w:val="Default"/>
              <w:rPr>
                <w:color w:val="auto"/>
                <w:sz w:val="22"/>
              </w:rPr>
            </w:pPr>
            <w:r>
              <w:rPr>
                <w:color w:val="auto"/>
                <w:sz w:val="22"/>
              </w:rPr>
              <w:t xml:space="preserve">Season 1 contract execution and modifications, S&amp;A, EDC, and Project Support.  Preparation of Commissioning Plan and draft O&amp;M manuals. </w:t>
            </w:r>
          </w:p>
        </w:tc>
      </w:tr>
      <w:tr w:rsidR="00832F67" w:rsidRPr="001E2F1B" w:rsidTr="00832F67">
        <w:tc>
          <w:tcPr>
            <w:tcW w:w="1659" w:type="dxa"/>
            <w:vAlign w:val="center"/>
          </w:tcPr>
          <w:p w:rsidR="00832F67" w:rsidRPr="001E2F1B" w:rsidRDefault="00832F67" w:rsidP="001E2F1B">
            <w:pPr>
              <w:pStyle w:val="Default"/>
              <w:rPr>
                <w:b/>
                <w:color w:val="auto"/>
                <w:sz w:val="22"/>
              </w:rPr>
            </w:pPr>
            <w:r w:rsidRPr="001E2F1B">
              <w:rPr>
                <w:b/>
                <w:color w:val="auto"/>
                <w:sz w:val="22"/>
              </w:rPr>
              <w:t>FY18</w:t>
            </w:r>
          </w:p>
          <w:p w:rsidR="00832F67" w:rsidRPr="001E2F1B" w:rsidRDefault="00832F67" w:rsidP="001E2F1B">
            <w:pPr>
              <w:pStyle w:val="Default"/>
              <w:rPr>
                <w:b/>
                <w:color w:val="auto"/>
                <w:sz w:val="22"/>
              </w:rPr>
            </w:pPr>
            <w:r w:rsidRPr="001E2F1B">
              <w:rPr>
                <w:b/>
                <w:color w:val="auto"/>
                <w:sz w:val="22"/>
              </w:rPr>
              <w:t>PBUD</w:t>
            </w:r>
          </w:p>
        </w:tc>
        <w:tc>
          <w:tcPr>
            <w:tcW w:w="1349" w:type="dxa"/>
          </w:tcPr>
          <w:p w:rsidR="00832F67" w:rsidRPr="001E2F1B" w:rsidRDefault="008F0D74" w:rsidP="00423E4E">
            <w:pPr>
              <w:pStyle w:val="Default"/>
              <w:rPr>
                <w:color w:val="auto"/>
                <w:sz w:val="22"/>
              </w:rPr>
            </w:pPr>
            <w:r>
              <w:rPr>
                <w:color w:val="auto"/>
                <w:sz w:val="22"/>
              </w:rPr>
              <w:t>$5,000,000</w:t>
            </w:r>
            <w:bookmarkStart w:id="0" w:name="_GoBack"/>
            <w:bookmarkEnd w:id="0"/>
          </w:p>
        </w:tc>
        <w:tc>
          <w:tcPr>
            <w:tcW w:w="6342" w:type="dxa"/>
          </w:tcPr>
          <w:p w:rsidR="00832F67" w:rsidRPr="001E2F1B" w:rsidRDefault="002C2960" w:rsidP="002C2960">
            <w:pPr>
              <w:pStyle w:val="Default"/>
              <w:rPr>
                <w:color w:val="auto"/>
                <w:sz w:val="22"/>
              </w:rPr>
            </w:pPr>
            <w:r>
              <w:rPr>
                <w:color w:val="auto"/>
                <w:sz w:val="22"/>
              </w:rPr>
              <w:t>Season 2 contract execution and modifications, S&amp;A, EDC, and Project Support.  Project commissioning.</w:t>
            </w:r>
          </w:p>
        </w:tc>
      </w:tr>
    </w:tbl>
    <w:p w:rsidR="00ED5903" w:rsidRPr="001E2F1B" w:rsidRDefault="00ED5903" w:rsidP="00423E4E">
      <w:pPr>
        <w:pStyle w:val="Default"/>
        <w:rPr>
          <w:b/>
          <w:color w:val="auto"/>
        </w:rPr>
      </w:pPr>
    </w:p>
    <w:p w:rsidR="00ED5903" w:rsidRPr="001E2F1B" w:rsidRDefault="00ED5903" w:rsidP="00423E4E">
      <w:pPr>
        <w:pStyle w:val="ListParagraph"/>
        <w:numPr>
          <w:ilvl w:val="0"/>
          <w:numId w:val="7"/>
        </w:numPr>
        <w:tabs>
          <w:tab w:val="left" w:pos="360"/>
        </w:tabs>
        <w:spacing w:line="240" w:lineRule="auto"/>
        <w:ind w:left="360"/>
        <w:rPr>
          <w:rFonts w:ascii="Arial" w:hAnsi="Arial" w:cs="Arial"/>
          <w:b/>
          <w:sz w:val="24"/>
          <w:szCs w:val="24"/>
        </w:rPr>
      </w:pPr>
      <w:r w:rsidRPr="001E2F1B">
        <w:rPr>
          <w:rFonts w:ascii="Arial" w:hAnsi="Arial" w:cs="Arial"/>
          <w:b/>
          <w:sz w:val="24"/>
          <w:szCs w:val="24"/>
        </w:rPr>
        <w:t xml:space="preserve"> </w:t>
      </w:r>
      <w:r w:rsidR="003D2255" w:rsidRPr="001E2F1B">
        <w:rPr>
          <w:rFonts w:ascii="Arial" w:hAnsi="Arial" w:cs="Arial"/>
          <w:b/>
          <w:sz w:val="24"/>
          <w:szCs w:val="24"/>
        </w:rPr>
        <w:t xml:space="preserve">PHOTOS </w:t>
      </w:r>
      <w:r w:rsidR="009C3B33">
        <w:rPr>
          <w:rFonts w:ascii="Arial" w:hAnsi="Arial" w:cs="Arial"/>
          <w:b/>
          <w:sz w:val="24"/>
          <w:szCs w:val="24"/>
        </w:rPr>
        <w:t>&amp;</w:t>
      </w:r>
      <w:r w:rsidR="003D2255" w:rsidRPr="001E2F1B">
        <w:rPr>
          <w:rFonts w:ascii="Arial" w:hAnsi="Arial" w:cs="Arial"/>
          <w:b/>
          <w:sz w:val="24"/>
          <w:szCs w:val="24"/>
        </w:rPr>
        <w:t xml:space="preserve"> DRAWINGS</w:t>
      </w:r>
    </w:p>
    <w:p w:rsidR="003D2255" w:rsidRDefault="0047768A" w:rsidP="00423E4E">
      <w:pPr>
        <w:tabs>
          <w:tab w:val="left" w:pos="360"/>
        </w:tabs>
        <w:spacing w:line="240" w:lineRule="auto"/>
        <w:rPr>
          <w:rFonts w:ascii="Arial" w:hAnsi="Arial" w:cs="Arial"/>
          <w:b/>
          <w:sz w:val="24"/>
          <w:szCs w:val="24"/>
        </w:rPr>
      </w:pPr>
      <w:r>
        <w:rPr>
          <w:rFonts w:ascii="Arial" w:hAnsi="Arial" w:cs="Arial"/>
          <w:b/>
          <w:sz w:val="24"/>
          <w:szCs w:val="24"/>
        </w:rPr>
        <w:t xml:space="preserve"> </w:t>
      </w:r>
      <w:r w:rsidR="00A92AFE">
        <w:rPr>
          <w:noProof/>
        </w:rPr>
        <w:drawing>
          <wp:inline distT="0" distB="0" distL="0" distR="0">
            <wp:extent cx="5943600" cy="3342953"/>
            <wp:effectExtent l="0" t="0" r="0" b="0"/>
            <wp:docPr id="1" name="Picture 1" descr="C:\Users\g2pmfmrt\AppData\Local\Microsoft\Windows\Temporary Internet Files\Content.Word\20170206_103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2pmfmrt\AppData\Local\Microsoft\Windows\Temporary Internet Files\Content.Word\20170206_10361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342953"/>
                    </a:xfrm>
                    <a:prstGeom prst="rect">
                      <a:avLst/>
                    </a:prstGeom>
                    <a:noFill/>
                    <a:ln>
                      <a:noFill/>
                    </a:ln>
                  </pic:spPr>
                </pic:pic>
              </a:graphicData>
            </a:graphic>
          </wp:inline>
        </w:drawing>
      </w:r>
    </w:p>
    <w:p w:rsidR="00A92AFE" w:rsidRPr="00A92AFE" w:rsidRDefault="00A92AFE" w:rsidP="00423E4E">
      <w:pPr>
        <w:tabs>
          <w:tab w:val="left" w:pos="360"/>
        </w:tabs>
        <w:spacing w:line="240" w:lineRule="auto"/>
        <w:rPr>
          <w:rFonts w:ascii="Arial" w:hAnsi="Arial" w:cs="Arial"/>
          <w:sz w:val="24"/>
          <w:szCs w:val="24"/>
        </w:rPr>
      </w:pPr>
      <w:r w:rsidRPr="00A92AFE">
        <w:rPr>
          <w:rFonts w:ascii="Arial" w:hAnsi="Arial" w:cs="Arial"/>
          <w:sz w:val="24"/>
          <w:szCs w:val="24"/>
        </w:rPr>
        <w:t>Placement of one of two 7-foot diameter penstocks that will supply water to the AWS diffuser chamber.</w:t>
      </w:r>
    </w:p>
    <w:sectPr w:rsidR="00A92AFE" w:rsidRPr="00A92AFE" w:rsidSect="00A52E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2EB" w:rsidRDefault="004D52EB" w:rsidP="007C6093">
      <w:pPr>
        <w:spacing w:after="0" w:line="240" w:lineRule="auto"/>
      </w:pPr>
      <w:r>
        <w:separator/>
      </w:r>
    </w:p>
  </w:endnote>
  <w:endnote w:type="continuationSeparator" w:id="0">
    <w:p w:rsidR="004D52EB" w:rsidRDefault="004D52EB" w:rsidP="007C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18" w:rsidRDefault="006E29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18" w:rsidRDefault="006E29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18" w:rsidRDefault="006E29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2EB" w:rsidRDefault="004D52EB" w:rsidP="007C6093">
      <w:pPr>
        <w:spacing w:after="0" w:line="240" w:lineRule="auto"/>
      </w:pPr>
      <w:r>
        <w:separator/>
      </w:r>
    </w:p>
  </w:footnote>
  <w:footnote w:type="continuationSeparator" w:id="0">
    <w:p w:rsidR="004D52EB" w:rsidRDefault="004D52EB" w:rsidP="007C6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18" w:rsidRDefault="006E29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3" w:rsidRDefault="001E2F1B">
    <w:pPr>
      <w:pStyle w:val="Header"/>
    </w:pPr>
    <w:r>
      <w:t>CRFM PROGRAM – MULTI-YEAR PROJECT WORK PLAN</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18" w:rsidRDefault="006E29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22C"/>
    <w:multiLevelType w:val="hybridMultilevel"/>
    <w:tmpl w:val="9ADA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D2619"/>
    <w:multiLevelType w:val="hybridMultilevel"/>
    <w:tmpl w:val="794E2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A11D6"/>
    <w:multiLevelType w:val="hybridMultilevel"/>
    <w:tmpl w:val="26D2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81930"/>
    <w:multiLevelType w:val="hybridMultilevel"/>
    <w:tmpl w:val="F066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5737CD"/>
    <w:multiLevelType w:val="hybridMultilevel"/>
    <w:tmpl w:val="E258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5A6E99"/>
    <w:multiLevelType w:val="hybridMultilevel"/>
    <w:tmpl w:val="EEB67EB8"/>
    <w:lvl w:ilvl="0" w:tplc="0409000F">
      <w:start w:val="1"/>
      <w:numFmt w:val="decimal"/>
      <w:lvlText w:val="%1."/>
      <w:lvlJc w:val="left"/>
      <w:pPr>
        <w:ind w:left="720" w:hanging="360"/>
      </w:pPr>
      <w:rPr>
        <w:rFonts w:hint="default"/>
      </w:rPr>
    </w:lvl>
    <w:lvl w:ilvl="1" w:tplc="BAFA8E8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1809E5"/>
    <w:multiLevelType w:val="hybridMultilevel"/>
    <w:tmpl w:val="BB482CBE"/>
    <w:lvl w:ilvl="0" w:tplc="FF2005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972B57"/>
    <w:multiLevelType w:val="hybridMultilevel"/>
    <w:tmpl w:val="D85A6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DD"/>
    <w:rsid w:val="00023192"/>
    <w:rsid w:val="000461A9"/>
    <w:rsid w:val="000708CA"/>
    <w:rsid w:val="000A3585"/>
    <w:rsid w:val="000C121B"/>
    <w:rsid w:val="000C3380"/>
    <w:rsid w:val="000C51CE"/>
    <w:rsid w:val="000D67E7"/>
    <w:rsid w:val="000E269F"/>
    <w:rsid w:val="001043CB"/>
    <w:rsid w:val="00111815"/>
    <w:rsid w:val="00135748"/>
    <w:rsid w:val="0014611E"/>
    <w:rsid w:val="001A1126"/>
    <w:rsid w:val="001A657A"/>
    <w:rsid w:val="001C5090"/>
    <w:rsid w:val="001E2F1B"/>
    <w:rsid w:val="001F09D6"/>
    <w:rsid w:val="00207010"/>
    <w:rsid w:val="00262421"/>
    <w:rsid w:val="00264B28"/>
    <w:rsid w:val="002C2960"/>
    <w:rsid w:val="002E1449"/>
    <w:rsid w:val="002F404A"/>
    <w:rsid w:val="0030041C"/>
    <w:rsid w:val="0030674D"/>
    <w:rsid w:val="00322958"/>
    <w:rsid w:val="00356D4B"/>
    <w:rsid w:val="0037073E"/>
    <w:rsid w:val="003A1C0A"/>
    <w:rsid w:val="003A2C8B"/>
    <w:rsid w:val="003B0929"/>
    <w:rsid w:val="003C286D"/>
    <w:rsid w:val="003D2255"/>
    <w:rsid w:val="00407629"/>
    <w:rsid w:val="00423E4E"/>
    <w:rsid w:val="00432435"/>
    <w:rsid w:val="00446100"/>
    <w:rsid w:val="0047768A"/>
    <w:rsid w:val="004813B5"/>
    <w:rsid w:val="004A00E0"/>
    <w:rsid w:val="004B09F7"/>
    <w:rsid w:val="004B7D45"/>
    <w:rsid w:val="004C3C42"/>
    <w:rsid w:val="004D52EB"/>
    <w:rsid w:val="004D7DAB"/>
    <w:rsid w:val="004F2147"/>
    <w:rsid w:val="004F71E9"/>
    <w:rsid w:val="005139D7"/>
    <w:rsid w:val="00540970"/>
    <w:rsid w:val="005666F3"/>
    <w:rsid w:val="005942EE"/>
    <w:rsid w:val="005E65F0"/>
    <w:rsid w:val="005E6697"/>
    <w:rsid w:val="00630690"/>
    <w:rsid w:val="00643AD3"/>
    <w:rsid w:val="00675397"/>
    <w:rsid w:val="00697E56"/>
    <w:rsid w:val="006B446F"/>
    <w:rsid w:val="006C65BB"/>
    <w:rsid w:val="006E2918"/>
    <w:rsid w:val="006E630B"/>
    <w:rsid w:val="007124F9"/>
    <w:rsid w:val="007132D8"/>
    <w:rsid w:val="00727958"/>
    <w:rsid w:val="007C5A7F"/>
    <w:rsid w:val="007C6093"/>
    <w:rsid w:val="00832535"/>
    <w:rsid w:val="00832F67"/>
    <w:rsid w:val="00867EFA"/>
    <w:rsid w:val="00886495"/>
    <w:rsid w:val="00895394"/>
    <w:rsid w:val="008A0CC0"/>
    <w:rsid w:val="008A10CF"/>
    <w:rsid w:val="008D7ED5"/>
    <w:rsid w:val="008F0D74"/>
    <w:rsid w:val="008F5322"/>
    <w:rsid w:val="00925D19"/>
    <w:rsid w:val="00940C28"/>
    <w:rsid w:val="0094515B"/>
    <w:rsid w:val="0096440D"/>
    <w:rsid w:val="009947DF"/>
    <w:rsid w:val="009B331B"/>
    <w:rsid w:val="009C3B33"/>
    <w:rsid w:val="009D0D8C"/>
    <w:rsid w:val="009E09EC"/>
    <w:rsid w:val="009E0C76"/>
    <w:rsid w:val="00A12188"/>
    <w:rsid w:val="00A23EC6"/>
    <w:rsid w:val="00A37DA4"/>
    <w:rsid w:val="00A52E17"/>
    <w:rsid w:val="00A56C8B"/>
    <w:rsid w:val="00A92AFE"/>
    <w:rsid w:val="00AB1EF4"/>
    <w:rsid w:val="00AB2F05"/>
    <w:rsid w:val="00AB43DD"/>
    <w:rsid w:val="00AF6AD4"/>
    <w:rsid w:val="00B17064"/>
    <w:rsid w:val="00B263D4"/>
    <w:rsid w:val="00B27A03"/>
    <w:rsid w:val="00B35620"/>
    <w:rsid w:val="00B75ADF"/>
    <w:rsid w:val="00B90CD2"/>
    <w:rsid w:val="00BA6163"/>
    <w:rsid w:val="00BC5A2A"/>
    <w:rsid w:val="00BE2E7E"/>
    <w:rsid w:val="00BE46C5"/>
    <w:rsid w:val="00C514E7"/>
    <w:rsid w:val="00C62F28"/>
    <w:rsid w:val="00CA13F4"/>
    <w:rsid w:val="00CE724F"/>
    <w:rsid w:val="00D1748E"/>
    <w:rsid w:val="00D845DA"/>
    <w:rsid w:val="00DC4C2A"/>
    <w:rsid w:val="00DD1F53"/>
    <w:rsid w:val="00DF536A"/>
    <w:rsid w:val="00E151D4"/>
    <w:rsid w:val="00E21363"/>
    <w:rsid w:val="00E34557"/>
    <w:rsid w:val="00E47459"/>
    <w:rsid w:val="00E529CE"/>
    <w:rsid w:val="00E74DE5"/>
    <w:rsid w:val="00EA667C"/>
    <w:rsid w:val="00ED5903"/>
    <w:rsid w:val="00EE38FC"/>
    <w:rsid w:val="00EF78C1"/>
    <w:rsid w:val="00F26BB1"/>
    <w:rsid w:val="00F30035"/>
    <w:rsid w:val="00F4159E"/>
    <w:rsid w:val="00F54234"/>
    <w:rsid w:val="00F71268"/>
    <w:rsid w:val="00F9344D"/>
    <w:rsid w:val="00FC4C6B"/>
    <w:rsid w:val="00FD3E96"/>
    <w:rsid w:val="00FF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2840CA-EDB7-4AB4-954A-AD983B86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611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qFormat/>
    <w:rsid w:val="0014611E"/>
    <w:pPr>
      <w:spacing w:before="240"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4611E"/>
    <w:rPr>
      <w:rFonts w:ascii="Arial" w:eastAsia="Times New Roman" w:hAnsi="Arial" w:cs="Times New Roman"/>
      <w:sz w:val="24"/>
      <w:szCs w:val="20"/>
    </w:rPr>
  </w:style>
  <w:style w:type="paragraph" w:styleId="ListParagraph">
    <w:name w:val="List Paragraph"/>
    <w:basedOn w:val="Normal"/>
    <w:uiPriority w:val="34"/>
    <w:qFormat/>
    <w:rsid w:val="008F5322"/>
    <w:pPr>
      <w:ind w:left="720"/>
      <w:contextualSpacing/>
    </w:pPr>
  </w:style>
  <w:style w:type="paragraph" w:styleId="Header">
    <w:name w:val="header"/>
    <w:basedOn w:val="Normal"/>
    <w:link w:val="HeaderChar"/>
    <w:uiPriority w:val="99"/>
    <w:unhideWhenUsed/>
    <w:rsid w:val="007C6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093"/>
  </w:style>
  <w:style w:type="paragraph" w:styleId="Footer">
    <w:name w:val="footer"/>
    <w:basedOn w:val="Normal"/>
    <w:link w:val="FooterChar"/>
    <w:uiPriority w:val="99"/>
    <w:unhideWhenUsed/>
    <w:rsid w:val="007C6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093"/>
  </w:style>
  <w:style w:type="paragraph" w:styleId="BalloonText">
    <w:name w:val="Balloon Text"/>
    <w:basedOn w:val="Normal"/>
    <w:link w:val="BalloonTextChar"/>
    <w:uiPriority w:val="99"/>
    <w:semiHidden/>
    <w:unhideWhenUsed/>
    <w:rsid w:val="004B7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D45"/>
    <w:rPr>
      <w:rFonts w:ascii="Segoe UI" w:hAnsi="Segoe UI" w:cs="Segoe UI"/>
      <w:sz w:val="18"/>
      <w:szCs w:val="18"/>
    </w:rPr>
  </w:style>
  <w:style w:type="paragraph" w:styleId="Revision">
    <w:name w:val="Revision"/>
    <w:hidden/>
    <w:uiPriority w:val="99"/>
    <w:semiHidden/>
    <w:rsid w:val="00832F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USACE</dc:creator>
  <cp:lastModifiedBy>Ian Chane</cp:lastModifiedBy>
  <cp:revision>4</cp:revision>
  <cp:lastPrinted>2017-06-23T18:17:00Z</cp:lastPrinted>
  <dcterms:created xsi:type="dcterms:W3CDTF">2017-10-18T19:55:00Z</dcterms:created>
  <dcterms:modified xsi:type="dcterms:W3CDTF">2017-10-18T23:38:00Z</dcterms:modified>
</cp:coreProperties>
</file>